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4750" w:type="pct"/>
        <w:tblInd w:w="0" w:type="dxa"/>
        <w:tblLayout w:type="autofit"/>
        <w:tblCellMar>
          <w:top w:w="0" w:type="dxa"/>
          <w:left w:w="0" w:type="dxa"/>
          <w:bottom w:w="0" w:type="dxa"/>
          <w:right w:w="0" w:type="dxa"/>
        </w:tblCellMar>
      </w:tblPr>
      <w:tblGrid>
        <w:gridCol w:w="4179"/>
        <w:gridCol w:w="740"/>
        <w:gridCol w:w="3836"/>
      </w:tblGrid>
      <w:tr w14:paraId="4F29179D">
        <w:tblPrEx>
          <w:tblCellMar>
            <w:top w:w="0" w:type="dxa"/>
            <w:left w:w="0" w:type="dxa"/>
            <w:bottom w:w="0" w:type="dxa"/>
            <w:right w:w="0" w:type="dxa"/>
          </w:tblCellMar>
        </w:tblPrEx>
        <w:tc>
          <w:tcPr>
            <w:tcW w:w="4068" w:type="dxa"/>
            <w:tcMar>
              <w:top w:w="0" w:type="dxa"/>
              <w:left w:w="108" w:type="dxa"/>
              <w:bottom w:w="0" w:type="dxa"/>
              <w:right w:w="108" w:type="dxa"/>
            </w:tcMar>
          </w:tcPr>
          <w:p w14:paraId="50B799FC">
            <w:pPr>
              <w:pStyle w:val="3"/>
              <w:spacing w:line="360" w:lineRule="auto"/>
              <w:jc w:val="left"/>
              <w:rPr>
                <w:lang w:val="lt-LT"/>
              </w:rPr>
            </w:pPr>
            <w:r>
              <w:rPr>
                <w:lang w:val="lt-LT"/>
              </w:rPr>
              <w:t xml:space="preserve">  </w:t>
            </w:r>
          </w:p>
        </w:tc>
        <w:tc>
          <w:tcPr>
            <w:tcW w:w="720" w:type="dxa"/>
            <w:tcMar>
              <w:top w:w="0" w:type="dxa"/>
              <w:left w:w="108" w:type="dxa"/>
              <w:bottom w:w="0" w:type="dxa"/>
              <w:right w:w="108" w:type="dxa"/>
            </w:tcMar>
          </w:tcPr>
          <w:p w14:paraId="2E9B4592">
            <w:pPr>
              <w:pStyle w:val="3"/>
              <w:spacing w:line="360" w:lineRule="auto"/>
              <w:rPr>
                <w:lang w:val="lt-LT"/>
              </w:rPr>
            </w:pPr>
          </w:p>
        </w:tc>
        <w:tc>
          <w:tcPr>
            <w:tcW w:w="3734" w:type="dxa"/>
            <w:tcMar>
              <w:top w:w="0" w:type="dxa"/>
              <w:left w:w="108" w:type="dxa"/>
              <w:bottom w:w="0" w:type="dxa"/>
              <w:right w:w="108" w:type="dxa"/>
            </w:tcMar>
          </w:tcPr>
          <w:p w14:paraId="15C8B088"/>
        </w:tc>
      </w:tr>
    </w:tbl>
    <w:p w14:paraId="767BC370">
      <w:pPr>
        <w:pStyle w:val="3"/>
        <w:spacing w:line="360" w:lineRule="auto"/>
        <w:rPr>
          <w:lang w:val="lt-LT"/>
        </w:rPr>
      </w:pPr>
      <w:r>
        <w:rPr>
          <w:caps/>
          <w:lang w:val="lt-LT"/>
        </w:rPr>
        <w:t> </w:t>
      </w:r>
    </w:p>
    <w:p w14:paraId="0505A4FD">
      <w:pPr>
        <w:pStyle w:val="3"/>
        <w:spacing w:line="360" w:lineRule="auto"/>
        <w:rPr>
          <w:lang w:val="lt-LT"/>
        </w:rPr>
      </w:pPr>
      <w:r>
        <w:rPr>
          <w:lang w:val="lt-LT"/>
        </w:rPr>
        <w:t>KELMĖS SPORTO CENTRO</w:t>
      </w:r>
    </w:p>
    <w:p w14:paraId="449736C8">
      <w:pPr>
        <w:pStyle w:val="3"/>
        <w:spacing w:line="360" w:lineRule="auto"/>
        <w:rPr>
          <w:lang w:val="lt-LT"/>
        </w:rPr>
      </w:pPr>
      <w:r>
        <w:rPr>
          <w:caps/>
          <w:lang w:val="lt-LT"/>
        </w:rPr>
        <w:t>FINANSŲ KONTROLĖS TAISYKLĖS</w:t>
      </w:r>
    </w:p>
    <w:p w14:paraId="781D6B52">
      <w:pPr>
        <w:jc w:val="center"/>
        <w:rPr>
          <w:b/>
          <w:bCs/>
        </w:rPr>
      </w:pPr>
      <w:r>
        <w:rPr>
          <w:b/>
          <w:bCs/>
        </w:rPr>
        <w:t> </w:t>
      </w:r>
    </w:p>
    <w:p w14:paraId="1BAB32BC">
      <w:pPr>
        <w:jc w:val="center"/>
      </w:pPr>
    </w:p>
    <w:p w14:paraId="11C61936">
      <w:pPr>
        <w:pStyle w:val="2"/>
        <w:jc w:val="center"/>
        <w:rPr>
          <w:lang w:val="lt-LT"/>
        </w:rPr>
      </w:pPr>
      <w:r>
        <w:rPr>
          <w:lang w:val="lt-LT"/>
        </w:rPr>
        <w:t>I. BENDROSIOS NUOSTATOS</w:t>
      </w:r>
    </w:p>
    <w:p w14:paraId="77C1E7F5">
      <w:pPr>
        <w:spacing w:line="276" w:lineRule="auto"/>
      </w:pPr>
      <w:r>
        <w:t> </w:t>
      </w:r>
    </w:p>
    <w:p w14:paraId="64EC9CCF">
      <w:pPr>
        <w:spacing w:line="276" w:lineRule="auto"/>
        <w:ind w:firstLine="720"/>
        <w:jc w:val="both"/>
      </w:pPr>
      <w:r>
        <w:t xml:space="preserve">1. </w:t>
      </w:r>
      <w:r>
        <w:rPr>
          <w:bCs/>
        </w:rPr>
        <w:t>Kelmės sporto centro (toliau – Centras)</w:t>
      </w:r>
      <w:r>
        <w:t xml:space="preserve"> finansų kontrolės taisyklės sudarytos vadovaujantis Lietuvos Respublikos Finansų ministro įsakymu „Dėl Lietuvos Respublikos finansų ministro 2003 m. gegužės 8 d. įsakymo „Dėl minimalių finansų kontrolės reikalavimų patvirtinimo“ pakeitimo“ 2005 m. lapkričio 29 d. Nr. 1K-362, Lietuvos Respublikos vidaus kontrolės ir vidaus audito įstatymu 2002 m. gruodžio 10 d. Nr. IX-1253 (Žin., 1994, Nr. 55-1049) ir atsižvelgus į Centro strateginius tikslus, veiklos pobūdį ir  ypatumus, veiklos riziką, nuostatus, struktūrą, turto apsaugos būklę ir į darbo tvarkos dokumentus.</w:t>
      </w:r>
    </w:p>
    <w:p w14:paraId="6448A64F">
      <w:pPr>
        <w:spacing w:line="276" w:lineRule="auto"/>
        <w:ind w:firstLine="720"/>
        <w:jc w:val="both"/>
      </w:pPr>
      <w:r>
        <w:t>2. Finansų kontrolės tikslas – tinkamai įgyvendinti Lietuvos Respublikos vidaus kontrolės ir vidaus audito įstatymo nuostatas dėl finansų kontrolės.</w:t>
      </w:r>
    </w:p>
    <w:p w14:paraId="5221213B">
      <w:pPr>
        <w:spacing w:line="276" w:lineRule="auto"/>
        <w:ind w:firstLine="720"/>
        <w:jc w:val="both"/>
      </w:pPr>
      <w:r>
        <w:t>3.  Taisyklėse vartojamos sąvokos sutampa su Lietuvos Respublikos vidaus kontrolės ir vidaus audito įstatyme vartojamomis sąvokomis.</w:t>
      </w:r>
    </w:p>
    <w:p w14:paraId="5C04A9ED">
      <w:pPr>
        <w:spacing w:line="276" w:lineRule="auto"/>
        <w:ind w:firstLine="720"/>
        <w:jc w:val="both"/>
      </w:pPr>
      <w:r>
        <w:t xml:space="preserve">4. Taisyklės nustato reikalavimus </w:t>
      </w:r>
      <w:r>
        <w:rPr>
          <w:bCs/>
        </w:rPr>
        <w:t>Centrui</w:t>
      </w:r>
      <w:r>
        <w:rPr>
          <w:b/>
        </w:rPr>
        <w:t>,</w:t>
      </w:r>
      <w:r>
        <w:t xml:space="preserve"> kuris valdo, naudoja valstybės ir savivaldybės turtą, juo disponuoja ir numato, kad sutartiniai įsipareigojimai tretiesiems asmenims atitiktų teisėtumo bei patikimo finansų valdymo principus.</w:t>
      </w:r>
    </w:p>
    <w:p w14:paraId="39F7CC9A">
      <w:pPr>
        <w:spacing w:line="276" w:lineRule="auto"/>
        <w:ind w:firstLine="720"/>
        <w:jc w:val="both"/>
      </w:pPr>
      <w:r>
        <w:t xml:space="preserve">5. Taisyklės reglamentuoja </w:t>
      </w:r>
      <w:r>
        <w:rPr>
          <w:bCs/>
        </w:rPr>
        <w:t>Centro</w:t>
      </w:r>
      <w:r>
        <w:t xml:space="preserve"> finansų kontrolės organizavimą ir darbuotojų, atliekančių finansų kontrolę, pareigas ir atsakomybę. </w:t>
      </w:r>
    </w:p>
    <w:p w14:paraId="7271122C">
      <w:pPr>
        <w:spacing w:line="276" w:lineRule="auto"/>
        <w:jc w:val="both"/>
      </w:pPr>
      <w:r>
        <w:t> </w:t>
      </w:r>
    </w:p>
    <w:p w14:paraId="76D32734">
      <w:pPr>
        <w:spacing w:line="276" w:lineRule="auto"/>
      </w:pPr>
      <w:r>
        <w:t> </w:t>
      </w:r>
    </w:p>
    <w:p w14:paraId="1D93F499">
      <w:pPr>
        <w:pStyle w:val="3"/>
        <w:spacing w:line="276" w:lineRule="auto"/>
        <w:rPr>
          <w:lang w:val="lt-LT"/>
        </w:rPr>
      </w:pPr>
      <w:r>
        <w:rPr>
          <w:caps/>
          <w:lang w:val="lt-LT"/>
        </w:rPr>
        <w:t> II. Finansų kontrolės tikslai</w:t>
      </w:r>
    </w:p>
    <w:p w14:paraId="501B4B0D">
      <w:pPr>
        <w:spacing w:line="276" w:lineRule="auto"/>
      </w:pPr>
      <w:r>
        <w:t> </w:t>
      </w:r>
    </w:p>
    <w:p w14:paraId="421B17C6">
      <w:pPr>
        <w:pStyle w:val="7"/>
        <w:spacing w:line="276" w:lineRule="auto"/>
        <w:ind w:firstLine="720"/>
        <w:rPr>
          <w:lang w:val="lt-LT"/>
        </w:rPr>
      </w:pPr>
      <w:r>
        <w:rPr>
          <w:lang w:val="lt-LT"/>
        </w:rPr>
        <w:t>6. Finansų kontrolė turi užtikrinti, kad būtų įgyvendinti šie pagrindiniai tikslai:</w:t>
      </w:r>
    </w:p>
    <w:p w14:paraId="246BEFE8">
      <w:pPr>
        <w:spacing w:line="276" w:lineRule="auto"/>
        <w:ind w:left="720" w:firstLine="720"/>
        <w:jc w:val="both"/>
      </w:pPr>
      <w:r>
        <w:t>6.1. veiksmingai, ekonomiškai, rezultatyviai, skaidriai ir pagal paskirtį naudojamas valstybės ir savivaldybės turtas, piniginiai ištekliai;</w:t>
      </w:r>
    </w:p>
    <w:p w14:paraId="5BDF5D1D">
      <w:pPr>
        <w:spacing w:line="276" w:lineRule="auto"/>
        <w:ind w:left="720" w:firstLine="720"/>
        <w:jc w:val="both"/>
      </w:pPr>
      <w:r>
        <w:t>6.2. laiku gaunama finansinė informacija, sudaroma tiksli, patikima finansinė atskaitomybė, programų vykdymo ir kitos ataskaitos;</w:t>
      </w:r>
    </w:p>
    <w:p w14:paraId="23040677">
      <w:pPr>
        <w:spacing w:line="276" w:lineRule="auto"/>
        <w:ind w:left="720" w:firstLine="720"/>
        <w:jc w:val="both"/>
      </w:pPr>
      <w:r>
        <w:t>6.3. laikomasi teisės aktų ir sutartinių įsipareigojimų;</w:t>
      </w:r>
    </w:p>
    <w:p w14:paraId="6C78D067">
      <w:pPr>
        <w:spacing w:line="276" w:lineRule="auto"/>
        <w:ind w:left="720" w:firstLine="720"/>
        <w:jc w:val="both"/>
      </w:pPr>
      <w:r>
        <w:t>6.4. užtikrinamas teisingas biudžeto sudarymas ir jo vykdymas.</w:t>
      </w:r>
    </w:p>
    <w:p w14:paraId="71E00310">
      <w:pPr>
        <w:spacing w:line="276" w:lineRule="auto"/>
        <w:ind w:firstLine="720"/>
        <w:jc w:val="both"/>
      </w:pPr>
      <w:r>
        <w:t>7.  Kad finansų kontrolė būtų veiksminga ji turi atitikti šiuos kriterijus :</w:t>
      </w:r>
    </w:p>
    <w:p w14:paraId="39E2828F">
      <w:pPr>
        <w:spacing w:line="276" w:lineRule="auto"/>
        <w:ind w:left="720" w:firstLine="720"/>
        <w:jc w:val="both"/>
      </w:pPr>
      <w:r>
        <w:t>7.1. turi būti tinkama – reikiama kontrolė reikiamoje vietoje;</w:t>
      </w:r>
    </w:p>
    <w:p w14:paraId="41B78AA1">
      <w:pPr>
        <w:spacing w:line="276" w:lineRule="auto"/>
        <w:ind w:left="720" w:firstLine="720"/>
        <w:jc w:val="both"/>
      </w:pPr>
      <w:r>
        <w:t>7.2. turi funkcionuoti nenutrūkstamai;</w:t>
      </w:r>
    </w:p>
    <w:p w14:paraId="394E24CC">
      <w:pPr>
        <w:spacing w:line="276" w:lineRule="auto"/>
        <w:ind w:left="720" w:firstLine="720"/>
        <w:jc w:val="both"/>
      </w:pPr>
      <w:r>
        <w:t>7.3. turi būti efektyvi – sąnaudos neturi viršyti gaunamos naudos.</w:t>
      </w:r>
    </w:p>
    <w:p w14:paraId="05E66594">
      <w:pPr>
        <w:spacing w:line="276" w:lineRule="auto"/>
        <w:jc w:val="both"/>
      </w:pPr>
    </w:p>
    <w:p w14:paraId="06DD2B86">
      <w:pPr>
        <w:spacing w:line="276" w:lineRule="auto"/>
        <w:jc w:val="center"/>
        <w:rPr>
          <w:b/>
        </w:rPr>
      </w:pPr>
    </w:p>
    <w:p w14:paraId="15227A6E">
      <w:pPr>
        <w:spacing w:line="276" w:lineRule="auto"/>
        <w:jc w:val="center"/>
        <w:rPr>
          <w:b/>
        </w:rPr>
      </w:pPr>
    </w:p>
    <w:p w14:paraId="72D38C78">
      <w:pPr>
        <w:spacing w:line="276" w:lineRule="auto"/>
        <w:jc w:val="center"/>
        <w:rPr>
          <w:b/>
        </w:rPr>
      </w:pPr>
      <w:r>
        <w:rPr>
          <w:b/>
        </w:rPr>
        <w:t>III. ŪKINIŲ OPERACIJŲ ATLIKIMAS IR TVIRTINIMAS</w:t>
      </w:r>
    </w:p>
    <w:p w14:paraId="38C0D027">
      <w:pPr>
        <w:spacing w:line="276" w:lineRule="auto"/>
        <w:rPr>
          <w:b/>
        </w:rPr>
      </w:pPr>
    </w:p>
    <w:p w14:paraId="51B84711">
      <w:pPr>
        <w:spacing w:line="276" w:lineRule="auto"/>
        <w:ind w:firstLine="720"/>
        <w:jc w:val="both"/>
      </w:pPr>
      <w:r>
        <w:t>8.</w:t>
      </w:r>
      <w:r>
        <w:rPr>
          <w:b/>
        </w:rPr>
        <w:t xml:space="preserve"> </w:t>
      </w:r>
      <w:r>
        <w:rPr>
          <w:bCs/>
        </w:rPr>
        <w:t xml:space="preserve">Centro </w:t>
      </w:r>
      <w:r>
        <w:t>prekių, paslaugų ir darbų pirkimai vykdomi vadovaujantis Lietuvos Respublikos viešųjų pirkimų įstatymu (Žin.,1996, Nr. 84-2000;2006, Nr. 4-102) ir</w:t>
      </w:r>
      <w:r>
        <w:rPr>
          <w:b/>
        </w:rPr>
        <w:t xml:space="preserve"> </w:t>
      </w:r>
      <w:r>
        <w:rPr>
          <w:bCs/>
        </w:rPr>
        <w:t xml:space="preserve">Centro </w:t>
      </w:r>
      <w:r>
        <w:t xml:space="preserve">patvirtintomis supaprastintų viešųjų pirkimų taisyklėmis ir kitais teisės aktais, reglamentuojančiais pirkimų ir sutarčių sudarymą. Sprendimą dėl ūkinės operacijos atlikimo priima </w:t>
      </w:r>
      <w:r>
        <w:rPr>
          <w:bCs/>
        </w:rPr>
        <w:t>Centro</w:t>
      </w:r>
      <w:r>
        <w:t xml:space="preserve"> direktorius.</w:t>
      </w:r>
    </w:p>
    <w:p w14:paraId="258B47CC">
      <w:pPr>
        <w:spacing w:line="276" w:lineRule="auto"/>
        <w:ind w:firstLine="720"/>
        <w:jc w:val="both"/>
      </w:pPr>
      <w:r>
        <w:t xml:space="preserve">9. Atsakingi asmenys vizuoja parašu sąskaitas faktūras apmokėti, patvirtindami, kad atlikti darbai, suteiktos paslaugos, įsigytos prekės atitinka sutarties reikalavimus. </w:t>
      </w:r>
    </w:p>
    <w:p w14:paraId="6B4E10CF">
      <w:pPr>
        <w:spacing w:line="276" w:lineRule="auto"/>
        <w:ind w:firstLine="720"/>
        <w:jc w:val="both"/>
      </w:pPr>
      <w:r>
        <w:t xml:space="preserve">10. Tinkamai paruošti dokumentai pateikiami Kelmės rajono finansinės apskaitos centro darbuotojams, kurie juos patikrina ir įtraukia į apskaitą. </w:t>
      </w:r>
    </w:p>
    <w:p w14:paraId="2CE7BBC7">
      <w:pPr>
        <w:spacing w:line="276" w:lineRule="auto"/>
        <w:ind w:firstLine="720"/>
        <w:jc w:val="both"/>
      </w:pPr>
      <w:r>
        <w:t xml:space="preserve">11. Mokėjimus pagal pateiktus finansinius dokumentus atlieka Kelmės rajono finansinės apskaitos centras vadovaujantis neterminuota </w:t>
      </w:r>
      <w:r>
        <w:rPr>
          <w:color w:val="000000" w:themeColor="text1"/>
          <w:highlight w:val="none"/>
          <w:shd w:val="clear"/>
          <w14:textFill>
            <w14:solidFill>
              <w14:schemeClr w14:val="tx1"/>
            </w14:solidFill>
          </w14:textFill>
        </w:rPr>
        <w:t xml:space="preserve">Buhalterinės apskaitos paslaugų teikimo sutartimi </w:t>
      </w:r>
      <w:r>
        <w:rPr>
          <w:bCs/>
          <w:color w:val="000000" w:themeColor="text1"/>
          <w:highlight w:val="none"/>
          <w:shd w:val="clear"/>
          <w14:textFill>
            <w14:solidFill>
              <w14:schemeClr w14:val="tx1"/>
            </w14:solidFill>
          </w14:textFill>
        </w:rPr>
        <w:t>20</w:t>
      </w:r>
      <w:r>
        <w:rPr>
          <w:rFonts w:hint="default"/>
          <w:bCs/>
          <w:color w:val="000000" w:themeColor="text1"/>
          <w:highlight w:val="none"/>
          <w:shd w:val="clear"/>
          <w:lang w:val="lt-LT"/>
          <w14:textFill>
            <w14:solidFill>
              <w14:schemeClr w14:val="tx1"/>
            </w14:solidFill>
          </w14:textFill>
        </w:rPr>
        <w:t>22</w:t>
      </w:r>
      <w:r>
        <w:rPr>
          <w:bCs/>
          <w:color w:val="000000" w:themeColor="text1"/>
          <w:highlight w:val="none"/>
          <w:shd w:val="clear"/>
          <w14:textFill>
            <w14:solidFill>
              <w14:schemeClr w14:val="tx1"/>
            </w14:solidFill>
          </w14:textFill>
        </w:rPr>
        <w:t>-0</w:t>
      </w:r>
      <w:r>
        <w:rPr>
          <w:rFonts w:hint="default"/>
          <w:bCs/>
          <w:color w:val="000000" w:themeColor="text1"/>
          <w:highlight w:val="none"/>
          <w:shd w:val="clear"/>
          <w:lang w:val="lt-LT"/>
          <w14:textFill>
            <w14:solidFill>
              <w14:schemeClr w14:val="tx1"/>
            </w14:solidFill>
          </w14:textFill>
        </w:rPr>
        <w:t>6</w:t>
      </w:r>
      <w:r>
        <w:rPr>
          <w:bCs/>
          <w:color w:val="000000" w:themeColor="text1"/>
          <w:highlight w:val="none"/>
          <w:shd w:val="clear"/>
          <w14:textFill>
            <w14:solidFill>
              <w14:schemeClr w14:val="tx1"/>
            </w14:solidFill>
          </w14:textFill>
        </w:rPr>
        <w:t>-</w:t>
      </w:r>
      <w:r>
        <w:rPr>
          <w:rFonts w:hint="default"/>
          <w:bCs/>
          <w:color w:val="000000" w:themeColor="text1"/>
          <w:highlight w:val="none"/>
          <w:shd w:val="clear"/>
          <w:lang w:val="lt-LT"/>
          <w14:textFill>
            <w14:solidFill>
              <w14:schemeClr w14:val="tx1"/>
            </w14:solidFill>
          </w14:textFill>
        </w:rPr>
        <w:t>28</w:t>
      </w:r>
      <w:r>
        <w:rPr>
          <w:bCs/>
          <w:color w:val="000000" w:themeColor="text1"/>
          <w:highlight w:val="none"/>
          <w:shd w:val="clear"/>
          <w14:textFill>
            <w14:solidFill>
              <w14:schemeClr w14:val="tx1"/>
            </w14:solidFill>
          </w14:textFill>
        </w:rPr>
        <w:t xml:space="preserve"> Nr.</w:t>
      </w:r>
      <w:r>
        <w:rPr>
          <w:b/>
          <w:color w:val="000000" w:themeColor="text1"/>
          <w:highlight w:val="none"/>
          <w:shd w:val="clear"/>
          <w14:textFill>
            <w14:solidFill>
              <w14:schemeClr w14:val="tx1"/>
            </w14:solidFill>
          </w14:textFill>
        </w:rPr>
        <w:t xml:space="preserve"> </w:t>
      </w:r>
      <w:r>
        <w:rPr>
          <w:rFonts w:hint="default"/>
          <w:b/>
          <w:color w:val="000000" w:themeColor="text1"/>
          <w:highlight w:val="none"/>
          <w:shd w:val="clear"/>
          <w:lang w:val="lt-LT"/>
          <w14:textFill>
            <w14:solidFill>
              <w14:schemeClr w14:val="tx1"/>
            </w14:solidFill>
          </w14:textFill>
        </w:rPr>
        <w:t>SŽ-17</w:t>
      </w:r>
      <w:r>
        <w:t xml:space="preserve"> Finansinės apskaitos centras organizuoja ir atlieka visą </w:t>
      </w:r>
      <w:r>
        <w:rPr>
          <w:bCs/>
        </w:rPr>
        <w:t>Centro finansinę apskaitą ir</w:t>
      </w:r>
      <w:bookmarkStart w:id="0" w:name="_GoBack"/>
      <w:bookmarkEnd w:id="0"/>
      <w:r>
        <w:rPr>
          <w:bCs/>
        </w:rPr>
        <w:t xml:space="preserve"> už ją atsako.</w:t>
      </w:r>
    </w:p>
    <w:p w14:paraId="29328F03">
      <w:pPr>
        <w:spacing w:line="276" w:lineRule="auto"/>
      </w:pPr>
    </w:p>
    <w:p w14:paraId="13A52329">
      <w:pPr>
        <w:spacing w:line="276" w:lineRule="auto"/>
      </w:pPr>
    </w:p>
    <w:p w14:paraId="414290CB">
      <w:pPr>
        <w:spacing w:line="276" w:lineRule="auto"/>
        <w:jc w:val="center"/>
        <w:rPr>
          <w:b/>
        </w:rPr>
      </w:pPr>
      <w:r>
        <w:rPr>
          <w:b/>
        </w:rPr>
        <w:t>IV. TURTO NAUDOJIMAS</w:t>
      </w:r>
    </w:p>
    <w:p w14:paraId="31B99EBA">
      <w:pPr>
        <w:spacing w:line="276" w:lineRule="auto"/>
      </w:pPr>
    </w:p>
    <w:p w14:paraId="7A73344E">
      <w:pPr>
        <w:autoSpaceDE w:val="0"/>
        <w:autoSpaceDN w:val="0"/>
        <w:adjustRightInd w:val="0"/>
        <w:ind w:firstLine="720"/>
        <w:jc w:val="both"/>
        <w:rPr>
          <w:lang w:eastAsia="lt-LT"/>
        </w:rPr>
      </w:pPr>
      <w:r>
        <w:rPr>
          <w:lang w:eastAsia="lt-LT"/>
        </w:rPr>
        <w:t xml:space="preserve">12. </w:t>
      </w:r>
      <w:r>
        <w:rPr>
          <w:bCs/>
          <w:lang w:eastAsia="lt-LT"/>
        </w:rPr>
        <w:t>Pagal</w:t>
      </w:r>
      <w:r>
        <w:rPr>
          <w:bCs/>
        </w:rPr>
        <w:t xml:space="preserve"> Centro </w:t>
      </w:r>
      <w:r>
        <w:rPr>
          <w:lang w:eastAsia="lt-LT"/>
        </w:rPr>
        <w:t xml:space="preserve">nuostatus ir priskirtas funkcijas vykdo turto, priskirto </w:t>
      </w:r>
      <w:r>
        <w:rPr>
          <w:rFonts w:ascii="TimesNewRoman" w:hAnsi="TimesNewRoman" w:cs="TimesNewRoman"/>
          <w:lang w:eastAsia="lt-LT"/>
        </w:rPr>
        <w:t>jo</w:t>
      </w:r>
      <w:r>
        <w:rPr>
          <w:lang w:eastAsia="lt-LT"/>
        </w:rPr>
        <w:t xml:space="preserve"> funkcijoms </w:t>
      </w:r>
      <w:r>
        <w:rPr>
          <w:rFonts w:ascii="TimesNewRoman" w:hAnsi="TimesNewRoman" w:cs="TimesNewRoman"/>
          <w:lang w:eastAsia="lt-LT"/>
        </w:rPr>
        <w:t>į</w:t>
      </w:r>
      <w:r>
        <w:rPr>
          <w:lang w:eastAsia="lt-LT"/>
        </w:rPr>
        <w:t>gyvendinti, administravim</w:t>
      </w:r>
      <w:r>
        <w:rPr>
          <w:rFonts w:ascii="TimesNewRoman" w:hAnsi="TimesNewRoman" w:cs="TimesNewRoman"/>
          <w:lang w:eastAsia="lt-LT"/>
        </w:rPr>
        <w:t xml:space="preserve">ą </w:t>
      </w:r>
      <w:r>
        <w:rPr>
          <w:lang w:eastAsia="lt-LT"/>
        </w:rPr>
        <w:t>ir kontrol</w:t>
      </w:r>
      <w:r>
        <w:rPr>
          <w:rFonts w:ascii="TimesNewRoman" w:hAnsi="TimesNewRoman" w:cs="TimesNewRoman"/>
          <w:lang w:eastAsia="lt-LT"/>
        </w:rPr>
        <w:t>ę</w:t>
      </w:r>
      <w:r>
        <w:rPr>
          <w:lang w:eastAsia="lt-LT"/>
        </w:rPr>
        <w:t>.</w:t>
      </w:r>
    </w:p>
    <w:p w14:paraId="30AA9045">
      <w:pPr>
        <w:autoSpaceDE w:val="0"/>
        <w:autoSpaceDN w:val="0"/>
        <w:adjustRightInd w:val="0"/>
        <w:ind w:firstLine="720"/>
        <w:jc w:val="both"/>
        <w:rPr>
          <w:lang w:eastAsia="lt-LT"/>
        </w:rPr>
      </w:pPr>
      <w:r>
        <w:rPr>
          <w:lang w:eastAsia="lt-LT"/>
        </w:rPr>
        <w:t>13. Už turto saugojim</w:t>
      </w:r>
      <w:r>
        <w:rPr>
          <w:rFonts w:ascii="TimesNewRoman" w:hAnsi="TimesNewRoman" w:cs="TimesNewRoman"/>
          <w:lang w:eastAsia="lt-LT"/>
        </w:rPr>
        <w:t xml:space="preserve">ą </w:t>
      </w:r>
      <w:r>
        <w:rPr>
          <w:lang w:eastAsia="lt-LT"/>
        </w:rPr>
        <w:t>yra paskiriami materialiniai atsakingi darbuotojai, su kuriais yra</w:t>
      </w:r>
    </w:p>
    <w:p w14:paraId="1A6D6B54">
      <w:pPr>
        <w:autoSpaceDE w:val="0"/>
        <w:autoSpaceDN w:val="0"/>
        <w:adjustRightInd w:val="0"/>
        <w:jc w:val="both"/>
        <w:rPr>
          <w:lang w:eastAsia="lt-LT"/>
        </w:rPr>
      </w:pPr>
      <w:r>
        <w:rPr>
          <w:lang w:eastAsia="lt-LT"/>
        </w:rPr>
        <w:t>sudaromos materialin</w:t>
      </w:r>
      <w:r>
        <w:rPr>
          <w:rFonts w:ascii="TimesNewRoman" w:hAnsi="TimesNewRoman" w:cs="TimesNewRoman"/>
          <w:lang w:eastAsia="lt-LT"/>
        </w:rPr>
        <w:t>ė</w:t>
      </w:r>
      <w:r>
        <w:rPr>
          <w:lang w:eastAsia="lt-LT"/>
        </w:rPr>
        <w:t>s atsakomyb</w:t>
      </w:r>
      <w:r>
        <w:rPr>
          <w:rFonts w:ascii="TimesNewRoman" w:hAnsi="TimesNewRoman" w:cs="TimesNewRoman"/>
          <w:lang w:eastAsia="lt-LT"/>
        </w:rPr>
        <w:t>ė</w:t>
      </w:r>
      <w:r>
        <w:rPr>
          <w:lang w:eastAsia="lt-LT"/>
        </w:rPr>
        <w:t>s sutartys.</w:t>
      </w:r>
    </w:p>
    <w:p w14:paraId="13DAEA86">
      <w:pPr>
        <w:autoSpaceDE w:val="0"/>
        <w:autoSpaceDN w:val="0"/>
        <w:adjustRightInd w:val="0"/>
        <w:ind w:firstLine="720"/>
        <w:jc w:val="both"/>
        <w:rPr>
          <w:lang w:eastAsia="lt-LT"/>
        </w:rPr>
      </w:pPr>
      <w:r>
        <w:t xml:space="preserve">14. </w:t>
      </w:r>
      <w:r>
        <w:rPr>
          <w:bCs/>
        </w:rPr>
        <w:t>Centras</w:t>
      </w:r>
      <w:r>
        <w:rPr>
          <w:lang w:eastAsia="lt-LT"/>
        </w:rPr>
        <w:t xml:space="preserve"> pagal vykdomas funkcijas administruoja jam priskirt</w:t>
      </w:r>
      <w:r>
        <w:rPr>
          <w:rFonts w:ascii="TimesNewRoman" w:hAnsi="TimesNewRoman" w:cs="TimesNewRoman"/>
          <w:lang w:eastAsia="lt-LT"/>
        </w:rPr>
        <w:t xml:space="preserve">ą </w:t>
      </w:r>
      <w:r>
        <w:rPr>
          <w:lang w:eastAsia="lt-LT"/>
        </w:rPr>
        <w:t>turt</w:t>
      </w:r>
      <w:r>
        <w:rPr>
          <w:rFonts w:ascii="TimesNewRoman" w:hAnsi="TimesNewRoman" w:cs="TimesNewRoman"/>
          <w:lang w:eastAsia="lt-LT"/>
        </w:rPr>
        <w:t>ą</w:t>
      </w:r>
      <w:r>
        <w:rPr>
          <w:lang w:eastAsia="lt-LT"/>
        </w:rPr>
        <w:t>, rengia dokumentus d</w:t>
      </w:r>
      <w:r>
        <w:rPr>
          <w:rFonts w:ascii="TimesNewRoman" w:hAnsi="TimesNewRoman" w:cs="TimesNewRoman"/>
          <w:lang w:eastAsia="lt-LT"/>
        </w:rPr>
        <w:t>ė</w:t>
      </w:r>
      <w:r>
        <w:rPr>
          <w:lang w:eastAsia="lt-LT"/>
        </w:rPr>
        <w:t>l turto pripažinimo nereikalingu arba netinkamu naudoti, jo nurašymo, išardymo ir likvidavimo vadovaudamasis Lietuvos Respublikos Vyriausyb</w:t>
      </w:r>
      <w:r>
        <w:rPr>
          <w:rFonts w:ascii="TimesNewRoman" w:hAnsi="TimesNewRoman" w:cs="TimesNewRoman"/>
          <w:lang w:eastAsia="lt-LT"/>
        </w:rPr>
        <w:t>ė</w:t>
      </w:r>
      <w:r>
        <w:rPr>
          <w:lang w:eastAsia="lt-LT"/>
        </w:rPr>
        <w:t>s 2001 m. spalio 15 d. nutarimu Nr.1250 „D</w:t>
      </w:r>
      <w:r>
        <w:rPr>
          <w:rFonts w:ascii="TimesNewRoman" w:hAnsi="TimesNewRoman" w:cs="TimesNewRoman"/>
          <w:lang w:eastAsia="lt-LT"/>
        </w:rPr>
        <w:t>ė</w:t>
      </w:r>
      <w:r>
        <w:rPr>
          <w:lang w:eastAsia="lt-LT"/>
        </w:rPr>
        <w:t>l pripažinto nereikalingu arba netinkamu (negalimu) naudoti valstyb</w:t>
      </w:r>
      <w:r>
        <w:rPr>
          <w:rFonts w:ascii="TimesNewRoman" w:hAnsi="TimesNewRoman" w:cs="TimesNewRoman"/>
          <w:lang w:eastAsia="lt-LT"/>
        </w:rPr>
        <w:t>ė</w:t>
      </w:r>
      <w:r>
        <w:rPr>
          <w:lang w:eastAsia="lt-LT"/>
        </w:rPr>
        <w:t>s ir savivaldybi</w:t>
      </w:r>
      <w:r>
        <w:rPr>
          <w:rFonts w:ascii="TimesNewRoman" w:hAnsi="TimesNewRoman" w:cs="TimesNewRoman"/>
          <w:lang w:eastAsia="lt-LT"/>
        </w:rPr>
        <w:t xml:space="preserve">ų </w:t>
      </w:r>
      <w:r>
        <w:rPr>
          <w:lang w:eastAsia="lt-LT"/>
        </w:rPr>
        <w:t>turto nurašymo, išardymo ir likvidavimo tvarkos aprašo patvirtinimo“</w:t>
      </w:r>
    </w:p>
    <w:p w14:paraId="5063C5CF">
      <w:pPr>
        <w:spacing w:line="276" w:lineRule="auto"/>
        <w:ind w:firstLine="720"/>
        <w:jc w:val="both"/>
      </w:pPr>
      <w:r>
        <w:rPr>
          <w:lang w:eastAsia="lt-LT"/>
        </w:rPr>
        <w:t>15. Turto inventorizacija atliekama vadovaujantis Vyriausyb</w:t>
      </w:r>
      <w:r>
        <w:rPr>
          <w:rFonts w:ascii="TimesNewRoman" w:hAnsi="TimesNewRoman" w:cs="TimesNewRoman"/>
          <w:lang w:eastAsia="lt-LT"/>
        </w:rPr>
        <w:t>ė</w:t>
      </w:r>
      <w:r>
        <w:rPr>
          <w:lang w:eastAsia="lt-LT"/>
        </w:rPr>
        <w:t>s nutarimu patvirtintomis Inventorizacijos taisykl</w:t>
      </w:r>
      <w:r>
        <w:rPr>
          <w:rFonts w:ascii="TimesNewRoman" w:hAnsi="TimesNewRoman" w:cs="TimesNewRoman"/>
          <w:lang w:eastAsia="lt-LT"/>
        </w:rPr>
        <w:t>ė</w:t>
      </w:r>
      <w:r>
        <w:rPr>
          <w:lang w:eastAsia="lt-LT"/>
        </w:rPr>
        <w:t>mis.</w:t>
      </w:r>
    </w:p>
    <w:p w14:paraId="1DBD42A0">
      <w:pPr>
        <w:spacing w:line="276" w:lineRule="auto"/>
        <w:rPr>
          <w:b/>
        </w:rPr>
      </w:pPr>
    </w:p>
    <w:p w14:paraId="00B1A5F5">
      <w:pPr>
        <w:spacing w:line="276" w:lineRule="auto"/>
      </w:pPr>
    </w:p>
    <w:p w14:paraId="3A385377">
      <w:pPr>
        <w:jc w:val="center"/>
      </w:pPr>
      <w:r>
        <w:rPr>
          <w:b/>
          <w:bCs/>
        </w:rPr>
        <w:t>III. IŠANKSTINĖ FINANSŲ KONTROLĖ</w:t>
      </w:r>
    </w:p>
    <w:p w14:paraId="1DE6BD32">
      <w:r>
        <w:rPr>
          <w:b/>
          <w:bCs/>
        </w:rPr>
        <w:t> </w:t>
      </w:r>
    </w:p>
    <w:p w14:paraId="37F4F89D">
      <w:pPr>
        <w:spacing w:line="276" w:lineRule="auto"/>
        <w:ind w:firstLine="720"/>
        <w:jc w:val="both"/>
      </w:pPr>
      <w:r>
        <w:t xml:space="preserve">16. Už išankstinę  finansų kontrolę </w:t>
      </w:r>
      <w:r>
        <w:rPr>
          <w:bCs/>
        </w:rPr>
        <w:t xml:space="preserve">Centre </w:t>
      </w:r>
      <w:r>
        <w:t xml:space="preserve">atsakingas </w:t>
      </w:r>
      <w:r>
        <w:rPr>
          <w:bCs/>
        </w:rPr>
        <w:t>direktoriaus pavaduotojas ūkio reikalams</w:t>
      </w:r>
      <w:r>
        <w:rPr>
          <w:b/>
        </w:rPr>
        <w:t xml:space="preserve"> </w:t>
      </w:r>
      <w:r>
        <w:t>ir</w:t>
      </w:r>
      <w:r>
        <w:rPr>
          <w:b/>
        </w:rPr>
        <w:t xml:space="preserve"> </w:t>
      </w:r>
      <w:r>
        <w:t>Finansinės apskaitos centro darbuotojas, tvarkantis Centro apskaitą.</w:t>
      </w:r>
    </w:p>
    <w:p w14:paraId="4BF26385">
      <w:pPr>
        <w:spacing w:line="276" w:lineRule="auto"/>
        <w:ind w:firstLine="720"/>
        <w:jc w:val="both"/>
      </w:pPr>
      <w:r>
        <w:t>17.  Vykdydamas išankstinę finansų kontrolę atsakingas darbuotojas:</w:t>
      </w:r>
    </w:p>
    <w:p w14:paraId="47B9BEFE">
      <w:pPr>
        <w:spacing w:line="276" w:lineRule="auto"/>
        <w:ind w:left="720" w:firstLine="720"/>
        <w:jc w:val="both"/>
      </w:pPr>
      <w:r>
        <w:t xml:space="preserve">17.1. patikrina ūkinės operacijos dokumentus, parašu ir data patvirtinta, kad ūkinė operacija yra teisėta, dokumentai tinkamai parengti ir kad jai atlikti pakaks patvirtintų asignavimų, prieš tai suderinęs su Finansinės apskaitos centro darbuotoju, tvarkančiu </w:t>
      </w:r>
      <w:r>
        <w:rPr>
          <w:bCs/>
        </w:rPr>
        <w:t xml:space="preserve">Centro </w:t>
      </w:r>
      <w:r>
        <w:t>apskaitą.</w:t>
      </w:r>
    </w:p>
    <w:p w14:paraId="2CE0BFE8">
      <w:pPr>
        <w:spacing w:line="276" w:lineRule="auto"/>
        <w:ind w:left="720" w:firstLine="720"/>
        <w:jc w:val="both"/>
      </w:pPr>
      <w:r>
        <w:t xml:space="preserve"> 17.2. Kontroliuoja, kad lėšos naudojamos biudžeto išlaidų sąmatose numatytoms išlaidoms, atitinka veiklos plano tikslus ir uždavinius. Dokumentai teikiami Centro direktoriui derinti, kuris priima sprendimą ūkinę operaciją atlikti. </w:t>
      </w:r>
    </w:p>
    <w:p w14:paraId="452EF1E9">
      <w:pPr>
        <w:spacing w:line="276" w:lineRule="auto"/>
        <w:jc w:val="both"/>
      </w:pPr>
    </w:p>
    <w:p w14:paraId="2C01E00C">
      <w:pPr>
        <w:jc w:val="both"/>
      </w:pPr>
    </w:p>
    <w:p w14:paraId="5EFCEA19">
      <w:r>
        <w:t> </w:t>
      </w:r>
    </w:p>
    <w:p w14:paraId="27ADB4B3">
      <w:pPr>
        <w:pStyle w:val="3"/>
        <w:rPr>
          <w:lang w:val="lt-LT"/>
        </w:rPr>
      </w:pPr>
      <w:r>
        <w:rPr>
          <w:lang w:val="lt-LT"/>
        </w:rPr>
        <w:t>IV. EINAMOJI FINANSŲ KONTROLĖ</w:t>
      </w:r>
    </w:p>
    <w:p w14:paraId="4DF9F4EB">
      <w:pPr>
        <w:jc w:val="center"/>
      </w:pPr>
      <w:r>
        <w:t> </w:t>
      </w:r>
    </w:p>
    <w:p w14:paraId="0935B690">
      <w:pPr>
        <w:spacing w:line="276" w:lineRule="auto"/>
        <w:ind w:firstLine="720"/>
        <w:jc w:val="both"/>
      </w:pPr>
      <w:r>
        <w:t xml:space="preserve">18. Už einamąją finansų kontrolę atsakingi </w:t>
      </w:r>
      <w:r>
        <w:rPr>
          <w:bCs/>
        </w:rPr>
        <w:t>Centro</w:t>
      </w:r>
      <w:r>
        <w:rPr>
          <w:b/>
        </w:rPr>
        <w:t xml:space="preserve"> </w:t>
      </w:r>
      <w:r>
        <w:t xml:space="preserve">direktoriaus įsakymu paskirti darbuotojai. </w:t>
      </w:r>
    </w:p>
    <w:p w14:paraId="6CA967F5">
      <w:pPr>
        <w:pStyle w:val="11"/>
        <w:spacing w:line="276" w:lineRule="auto"/>
        <w:ind w:firstLine="720"/>
        <w:rPr>
          <w:sz w:val="24"/>
          <w:szCs w:val="24"/>
          <w:lang w:val="lt-LT"/>
        </w:rPr>
      </w:pPr>
      <w:r>
        <w:rPr>
          <w:sz w:val="24"/>
          <w:szCs w:val="24"/>
          <w:lang w:val="lt-LT"/>
        </w:rPr>
        <w:t xml:space="preserve">19. Einamoji finansų kontrolė apima visus veiksmus, užtikrinančius, kad ūkinės operacijos būtų atliekamos laiku ir tinkamai (teikiamų paslaugų ir perkamų prekių kokybės ir atitikties sudarytoms sutartims ir kitiems susijusiems dokumentams patikrinimas, dalyvavimas teikiant paslaugas, dalyvavimas priimant prekes, jas skaičiuojant, prekių patikrinimas atrankos būdu ir kt.). </w:t>
      </w:r>
      <w:r>
        <w:rPr>
          <w:bCs/>
          <w:sz w:val="24"/>
          <w:szCs w:val="24"/>
          <w:lang w:val="lt-LT"/>
        </w:rPr>
        <w:t xml:space="preserve">Centro </w:t>
      </w:r>
      <w:r>
        <w:rPr>
          <w:sz w:val="24"/>
          <w:szCs w:val="24"/>
          <w:lang w:val="lt-LT"/>
        </w:rPr>
        <w:t xml:space="preserve">direktoriaus įsakymu paskirti darbuotojai pasirašydami ūkinės operacijos dokumentus (prekių priėmimo perdavimo aktus, darbų atlikimo aktus, sąskaitas-faktūras ir kt.) parašu ir data patvirtina, kad ūkinė operacija atlikta laiku, tinkamai ir kad padaryti įrašai aritmetiškai teisingi. Jeigu ūkinė operacija vykdoma netinkamai, stabdo ūkinės operacijos atlikimą, arba, įvertinęs ūkinės operacijos stabdymo pasekmes bei kitas aplinkybes, nurodo ją tęsti geriausiu būdu pagal patikimo finansų valdymo principus. </w:t>
      </w:r>
    </w:p>
    <w:p w14:paraId="3A06244E">
      <w:pPr>
        <w:pStyle w:val="11"/>
        <w:spacing w:line="276" w:lineRule="auto"/>
        <w:ind w:firstLine="0"/>
        <w:rPr>
          <w:sz w:val="24"/>
          <w:szCs w:val="24"/>
          <w:lang w:val="lt-LT"/>
        </w:rPr>
      </w:pPr>
    </w:p>
    <w:p w14:paraId="3B537E34">
      <w:pPr>
        <w:pStyle w:val="11"/>
        <w:spacing w:line="276" w:lineRule="auto"/>
        <w:rPr>
          <w:sz w:val="24"/>
          <w:szCs w:val="24"/>
          <w:lang w:val="lt-LT"/>
        </w:rPr>
      </w:pPr>
      <w:r>
        <w:rPr>
          <w:sz w:val="24"/>
          <w:szCs w:val="24"/>
          <w:lang w:val="lt-LT"/>
        </w:rPr>
        <w:tab/>
      </w:r>
    </w:p>
    <w:p w14:paraId="0D1D6D81">
      <w:pPr>
        <w:pStyle w:val="3"/>
        <w:spacing w:line="276" w:lineRule="auto"/>
        <w:rPr>
          <w:lang w:val="lt-LT"/>
        </w:rPr>
      </w:pPr>
      <w:r>
        <w:rPr>
          <w:lang w:val="lt-LT"/>
        </w:rPr>
        <w:t>V. PASKESNIOJI FINANSŲ KONTROLĖ</w:t>
      </w:r>
    </w:p>
    <w:p w14:paraId="126BB6A8">
      <w:pPr>
        <w:spacing w:line="276" w:lineRule="auto"/>
      </w:pPr>
      <w:r>
        <w:rPr>
          <w:b/>
          <w:bCs/>
        </w:rPr>
        <w:t> </w:t>
      </w:r>
    </w:p>
    <w:p w14:paraId="494B00C1">
      <w:pPr>
        <w:spacing w:line="276" w:lineRule="auto"/>
        <w:ind w:firstLine="720"/>
        <w:jc w:val="both"/>
      </w:pPr>
      <w:r>
        <w:t xml:space="preserve">20. Paskesniosios kontrolės metu tikrinama ar teisėtai ir pagal paskirtį panaudotos lėšos ir materialinės vertybės, ar nebuvo įstatymų pažeidimų, piktnaudžiavimų. </w:t>
      </w:r>
    </w:p>
    <w:p w14:paraId="5D68CF04">
      <w:pPr>
        <w:spacing w:line="276" w:lineRule="auto"/>
        <w:ind w:firstLine="720"/>
        <w:jc w:val="both"/>
      </w:pPr>
      <w:r>
        <w:t xml:space="preserve">21. Atsakingas už paskesniąją finansų kontrolę </w:t>
      </w:r>
      <w:r>
        <w:rPr>
          <w:bCs/>
        </w:rPr>
        <w:t xml:space="preserve">Centro </w:t>
      </w:r>
      <w:r>
        <w:t xml:space="preserve">direktorius arba jam nesant - jo pavaduotojas. Jis kiekvieną kartą, pasirašydamas finansinę atskaitomybę, peržiūri balanso straipsnių pasikeitimus, išlaidų sąmatos vykdymo rezultatus, atsiskaitymų būklę ir aptaria tolimesnę strategiją su atsakingais darbuotojais ir Kelmės rajono finansinės apskaitos centro atsakingais darbuotojais. Patikrina ar teisėtai ir pagal paskirtį panaudotos lėšos ir materialinės vertybės, ar nebuvo teisės aktų pažeidimų bei piktnaudžiavimų. Esant reikalui imasi reikiamų priemonių dėl teisingo asignavimų naudojimo bei turto valdymo. Kiekvienais metais pateikia informaciją  apie finansų kontrolės būklę Kelmės rajono savivaldybės administracijai. </w:t>
      </w:r>
    </w:p>
    <w:p w14:paraId="18DAC3AB">
      <w:pPr>
        <w:spacing w:line="276" w:lineRule="auto"/>
        <w:jc w:val="center"/>
        <w:rPr>
          <w:b/>
          <w:bCs/>
        </w:rPr>
      </w:pPr>
      <w:r>
        <w:rPr>
          <w:b/>
          <w:bCs/>
        </w:rPr>
        <w:t> </w:t>
      </w:r>
    </w:p>
    <w:p w14:paraId="1B912A3A">
      <w:pPr>
        <w:spacing w:line="276" w:lineRule="auto"/>
        <w:jc w:val="center"/>
      </w:pPr>
    </w:p>
    <w:p w14:paraId="2B0DA1E7">
      <w:pPr>
        <w:pStyle w:val="3"/>
        <w:spacing w:line="276" w:lineRule="auto"/>
        <w:rPr>
          <w:lang w:val="lt-LT"/>
        </w:rPr>
      </w:pPr>
      <w:r>
        <w:rPr>
          <w:lang w:val="lt-LT"/>
        </w:rPr>
        <w:t>VI. KONTROLĖS ĮVERTINIMAS</w:t>
      </w:r>
    </w:p>
    <w:p w14:paraId="4508E28D">
      <w:pPr>
        <w:spacing w:line="276" w:lineRule="auto"/>
      </w:pPr>
      <w:r>
        <w:rPr>
          <w:b/>
          <w:bCs/>
        </w:rPr>
        <w:t> </w:t>
      </w:r>
    </w:p>
    <w:p w14:paraId="00E80794">
      <w:pPr>
        <w:pStyle w:val="17"/>
        <w:tabs>
          <w:tab w:val="left" w:pos="1260"/>
        </w:tabs>
        <w:spacing w:line="276" w:lineRule="auto"/>
        <w:ind w:firstLine="709"/>
      </w:pPr>
      <w:r>
        <w:t>22. Vertinant finansų kontrolės būklę, turi būti nustatyta ar laikomasi nustatytų finansų kontrolės procedūrų , ar jos ekonomiškos, veiksmingos.</w:t>
      </w:r>
    </w:p>
    <w:p w14:paraId="60776FC3">
      <w:pPr>
        <w:spacing w:line="276" w:lineRule="auto"/>
        <w:ind w:firstLine="709"/>
        <w:jc w:val="both"/>
      </w:pPr>
      <w:r>
        <w:t xml:space="preserve">23. Visi </w:t>
      </w:r>
      <w:r>
        <w:rPr>
          <w:bCs/>
        </w:rPr>
        <w:t xml:space="preserve">Centro </w:t>
      </w:r>
      <w:r>
        <w:t xml:space="preserve">darbuotojai susiję su valstybės ir savivaldybės turto naudojimu, privalo patikrinti ar teisėtai ir pagal paskirtį panaudotos lėšos ir materialinės vertybės, kartą metuose, vadovaujantis direktoriaus įsakymu, atlikti </w:t>
      </w:r>
      <w:r>
        <w:rPr>
          <w:bCs/>
        </w:rPr>
        <w:t>Centro t</w:t>
      </w:r>
      <w:r>
        <w:t xml:space="preserve">urto inventorizaciją. </w:t>
      </w:r>
    </w:p>
    <w:p w14:paraId="6107721E">
      <w:pPr>
        <w:spacing w:line="276" w:lineRule="auto"/>
        <w:jc w:val="both"/>
      </w:pPr>
    </w:p>
    <w:p w14:paraId="75B1CBE0">
      <w:pPr>
        <w:pStyle w:val="3"/>
        <w:spacing w:line="276" w:lineRule="auto"/>
        <w:rPr>
          <w:lang w:val="lt-LT"/>
        </w:rPr>
      </w:pPr>
      <w:r>
        <w:rPr>
          <w:lang w:val="lt-LT"/>
        </w:rPr>
        <w:t>VII. BAIGIAMOSIOS NUOSTATOS</w:t>
      </w:r>
    </w:p>
    <w:p w14:paraId="40E74E8E">
      <w:pPr>
        <w:spacing w:line="276" w:lineRule="auto"/>
        <w:jc w:val="center"/>
      </w:pPr>
      <w:r>
        <w:rPr>
          <w:b/>
          <w:bCs/>
        </w:rPr>
        <w:t> </w:t>
      </w:r>
    </w:p>
    <w:p w14:paraId="04BD72EF">
      <w:pPr>
        <w:spacing w:line="276" w:lineRule="auto"/>
        <w:ind w:firstLine="720"/>
        <w:jc w:val="both"/>
        <w:rPr>
          <w:bCs/>
        </w:rPr>
      </w:pPr>
      <w:r>
        <w:t xml:space="preserve">24. Centras, vykdydamas minimalius finansų kontrolės reikalavimus, vadovaujasi Lietuvos Respublikos įstatymais ir teisės aktais, Kelmės rajono savivaldybės teisiniais dokumentais, </w:t>
      </w:r>
      <w:r>
        <w:rPr>
          <w:bCs/>
        </w:rPr>
        <w:t xml:space="preserve">Centro </w:t>
      </w:r>
      <w:r>
        <w:t>veiklos</w:t>
      </w:r>
      <w:r>
        <w:rPr>
          <w:bCs/>
        </w:rPr>
        <w:t xml:space="preserve"> nuostatais ir direktoriaus įsakymais.</w:t>
      </w:r>
    </w:p>
    <w:p w14:paraId="72EEEA07">
      <w:pPr>
        <w:spacing w:line="276" w:lineRule="auto"/>
        <w:ind w:firstLine="720"/>
        <w:jc w:val="both"/>
        <w:rPr>
          <w:bCs/>
        </w:rPr>
      </w:pPr>
      <w:r>
        <w:rPr>
          <w:bCs/>
        </w:rPr>
        <w:t xml:space="preserve">25. Centro darbuotojai privalo laiku ir kokybiškai atlikti savo pareigas finansų kontrolės srityje. </w:t>
      </w:r>
    </w:p>
    <w:p w14:paraId="5294F904">
      <w:pPr>
        <w:spacing w:line="276" w:lineRule="auto"/>
        <w:ind w:firstLine="720"/>
        <w:jc w:val="both"/>
        <w:rPr>
          <w:bCs/>
        </w:rPr>
      </w:pPr>
      <w:r>
        <w:rPr>
          <w:bCs/>
        </w:rPr>
        <w:t>26. Centro direktorius užtikrina, kad būtų pašalinti finansų kontrolės srityje atsakingų asmenų nustatyti trūkumai ir jų atsiradimą lemiantys veiksniai.</w:t>
      </w:r>
    </w:p>
    <w:p w14:paraId="3821ECA4">
      <w:pPr>
        <w:spacing w:line="276" w:lineRule="auto"/>
        <w:jc w:val="both"/>
        <w:rPr>
          <w:bCs/>
        </w:rPr>
      </w:pPr>
    </w:p>
    <w:p w14:paraId="08800F6C">
      <w:pPr>
        <w:spacing w:line="276" w:lineRule="auto"/>
        <w:jc w:val="both"/>
      </w:pPr>
    </w:p>
    <w:p w14:paraId="33DC4C6C">
      <w:pPr>
        <w:spacing w:line="276" w:lineRule="auto"/>
        <w:jc w:val="center"/>
      </w:pPr>
      <w:r>
        <w:t>_______________________________</w:t>
      </w:r>
    </w:p>
    <w:p w14:paraId="256C88D4">
      <w:pPr>
        <w:spacing w:line="276" w:lineRule="auto"/>
      </w:pPr>
      <w:r>
        <w:t> </w:t>
      </w:r>
    </w:p>
    <w:p w14:paraId="4FC9EC54">
      <w:pPr>
        <w:spacing w:line="276" w:lineRule="auto"/>
      </w:pPr>
    </w:p>
    <w:sectPr>
      <w:pgSz w:w="12240" w:h="15840"/>
      <w:pgMar w:top="709" w:right="144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imesLT">
    <w:altName w:val="Times New Roman"/>
    <w:panose1 w:val="00000000000000000000"/>
    <w:charset w:val="00"/>
    <w:family w:val="roman"/>
    <w:pitch w:val="default"/>
    <w:sig w:usb0="00000000" w:usb1="00000000" w:usb2="00000000" w:usb3="00000000" w:csb0="00000001" w:csb1="00000000"/>
  </w:font>
  <w:font w:name="Tahoma">
    <w:panose1 w:val="020B0604030504040204"/>
    <w:charset w:val="BA"/>
    <w:family w:val="swiss"/>
    <w:pitch w:val="default"/>
    <w:sig w:usb0="E1002EFF" w:usb1="C000605B" w:usb2="00000029" w:usb3="00000000" w:csb0="200101FF" w:csb1="20280000"/>
  </w:font>
  <w:font w:name="TimesNewRoman">
    <w:altName w:val="Times New Roman"/>
    <w:panose1 w:val="00000000000000000000"/>
    <w:charset w:val="EE"/>
    <w:family w:val="auto"/>
    <w:pitch w:val="default"/>
    <w:sig w:usb0="00000000" w:usb1="00000000" w:usb2="00000000" w:usb3="00000000" w:csb0="00000002"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811"/>
    <w:rsid w:val="00084071"/>
    <w:rsid w:val="000A22BC"/>
    <w:rsid w:val="000B6833"/>
    <w:rsid w:val="000E4DE6"/>
    <w:rsid w:val="0012469A"/>
    <w:rsid w:val="00217B09"/>
    <w:rsid w:val="002C7CB9"/>
    <w:rsid w:val="00323811"/>
    <w:rsid w:val="0032766B"/>
    <w:rsid w:val="00350D07"/>
    <w:rsid w:val="00482933"/>
    <w:rsid w:val="004A0458"/>
    <w:rsid w:val="005044B7"/>
    <w:rsid w:val="0052099D"/>
    <w:rsid w:val="0052684B"/>
    <w:rsid w:val="00564CC2"/>
    <w:rsid w:val="00584CB4"/>
    <w:rsid w:val="005C095A"/>
    <w:rsid w:val="005C469D"/>
    <w:rsid w:val="005F3AAF"/>
    <w:rsid w:val="005F563A"/>
    <w:rsid w:val="00607D15"/>
    <w:rsid w:val="00643ECD"/>
    <w:rsid w:val="006D5ECC"/>
    <w:rsid w:val="006F10CA"/>
    <w:rsid w:val="00715DB3"/>
    <w:rsid w:val="007319F9"/>
    <w:rsid w:val="007755FA"/>
    <w:rsid w:val="007808D7"/>
    <w:rsid w:val="007C1B21"/>
    <w:rsid w:val="008224D1"/>
    <w:rsid w:val="00881F5A"/>
    <w:rsid w:val="0089728D"/>
    <w:rsid w:val="008A3C05"/>
    <w:rsid w:val="008A7C53"/>
    <w:rsid w:val="008C0255"/>
    <w:rsid w:val="008D0CD7"/>
    <w:rsid w:val="008D120B"/>
    <w:rsid w:val="008F21F9"/>
    <w:rsid w:val="0096712E"/>
    <w:rsid w:val="00967464"/>
    <w:rsid w:val="009D7558"/>
    <w:rsid w:val="009E54B9"/>
    <w:rsid w:val="00A01375"/>
    <w:rsid w:val="00A8052A"/>
    <w:rsid w:val="00B042CC"/>
    <w:rsid w:val="00B12424"/>
    <w:rsid w:val="00B155B0"/>
    <w:rsid w:val="00B95713"/>
    <w:rsid w:val="00C04D09"/>
    <w:rsid w:val="00C65B9C"/>
    <w:rsid w:val="00CA3A09"/>
    <w:rsid w:val="00CB6B8E"/>
    <w:rsid w:val="00D32A8A"/>
    <w:rsid w:val="00D441E6"/>
    <w:rsid w:val="00D45176"/>
    <w:rsid w:val="00D53507"/>
    <w:rsid w:val="00D56BB6"/>
    <w:rsid w:val="00D93901"/>
    <w:rsid w:val="00DA2074"/>
    <w:rsid w:val="00DB4A56"/>
    <w:rsid w:val="00DD0E71"/>
    <w:rsid w:val="00E77E48"/>
    <w:rsid w:val="00E944E9"/>
    <w:rsid w:val="00E94E19"/>
    <w:rsid w:val="00EA1940"/>
    <w:rsid w:val="00EA3FC3"/>
    <w:rsid w:val="00EE4EFB"/>
    <w:rsid w:val="00F1734D"/>
    <w:rsid w:val="00F27464"/>
    <w:rsid w:val="00F432E7"/>
    <w:rsid w:val="00FA7BBD"/>
    <w:rsid w:val="00FE56C3"/>
    <w:rsid w:val="40126B0F"/>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lt-LT" w:eastAsia="en-US" w:bidi="ar-SA"/>
    </w:rPr>
  </w:style>
  <w:style w:type="paragraph" w:styleId="2">
    <w:name w:val="heading 3"/>
    <w:basedOn w:val="1"/>
    <w:qFormat/>
    <w:uiPriority w:val="0"/>
    <w:pPr>
      <w:keepNext/>
      <w:ind w:left="360"/>
      <w:outlineLvl w:val="2"/>
    </w:pPr>
    <w:rPr>
      <w:b/>
      <w:bCs/>
      <w:lang w:val="en-US"/>
    </w:rPr>
  </w:style>
  <w:style w:type="paragraph" w:styleId="3">
    <w:name w:val="heading 4"/>
    <w:basedOn w:val="1"/>
    <w:qFormat/>
    <w:uiPriority w:val="0"/>
    <w:pPr>
      <w:keepNext/>
      <w:jc w:val="center"/>
      <w:outlineLvl w:val="3"/>
    </w:pPr>
    <w:rPr>
      <w:b/>
      <w:bCs/>
      <w:lang w:val="en-US"/>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0"/>
    <w:pPr>
      <w:spacing w:after="120"/>
    </w:pPr>
    <w:rPr>
      <w:lang w:val="en-US"/>
    </w:rPr>
  </w:style>
  <w:style w:type="paragraph" w:styleId="7">
    <w:name w:val="Body Text 2"/>
    <w:basedOn w:val="1"/>
    <w:qFormat/>
    <w:uiPriority w:val="0"/>
    <w:pPr>
      <w:jc w:val="both"/>
    </w:pPr>
    <w:rPr>
      <w:lang w:val="en-US"/>
    </w:rPr>
  </w:style>
  <w:style w:type="paragraph" w:styleId="8">
    <w:name w:val="Document Map"/>
    <w:basedOn w:val="1"/>
    <w:semiHidden/>
    <w:uiPriority w:val="0"/>
    <w:pPr>
      <w:shd w:val="clear" w:color="auto" w:fill="000080"/>
    </w:pPr>
    <w:rPr>
      <w:rFonts w:ascii="Tahoma" w:hAnsi="Tahoma" w:cs="Tahoma"/>
      <w:sz w:val="20"/>
      <w:szCs w:val="20"/>
    </w:rPr>
  </w:style>
  <w:style w:type="character" w:styleId="9">
    <w:name w:val="FollowedHyperlink"/>
    <w:qFormat/>
    <w:uiPriority w:val="0"/>
    <w:rPr>
      <w:color w:val="800080"/>
      <w:u w:val="single"/>
    </w:rPr>
  </w:style>
  <w:style w:type="character" w:styleId="10">
    <w:name w:val="Hyperlink"/>
    <w:qFormat/>
    <w:uiPriority w:val="0"/>
    <w:rPr>
      <w:color w:val="0000FF"/>
      <w:u w:val="single"/>
    </w:rPr>
  </w:style>
  <w:style w:type="paragraph" w:customStyle="1" w:styleId="11">
    <w:name w:val="bodytext"/>
    <w:qFormat/>
    <w:uiPriority w:val="0"/>
    <w:pPr>
      <w:snapToGrid w:val="0"/>
      <w:ind w:firstLine="312"/>
      <w:jc w:val="both"/>
    </w:pPr>
    <w:rPr>
      <w:rFonts w:ascii="TimesLT" w:hAnsi="TimesLT" w:eastAsia="Times New Roman" w:cs="Times New Roman"/>
      <w:lang w:val="en-US" w:eastAsia="en-US" w:bidi="ar-SA"/>
    </w:rPr>
  </w:style>
  <w:style w:type="paragraph" w:customStyle="1" w:styleId="12">
    <w:name w:val="ISTATYMAS"/>
    <w:qFormat/>
    <w:uiPriority w:val="0"/>
    <w:pPr>
      <w:autoSpaceDE w:val="0"/>
      <w:autoSpaceDN w:val="0"/>
      <w:adjustRightInd w:val="0"/>
      <w:jc w:val="center"/>
    </w:pPr>
    <w:rPr>
      <w:rFonts w:ascii="TimesLT" w:hAnsi="TimesLT" w:eastAsia="Times New Roman" w:cs="Times New Roman"/>
      <w:lang w:val="en-US" w:eastAsia="en-US" w:bidi="ar-SA"/>
    </w:rPr>
  </w:style>
  <w:style w:type="paragraph" w:customStyle="1" w:styleId="13">
    <w:name w:val="Pavadinimas1"/>
    <w:qFormat/>
    <w:uiPriority w:val="0"/>
    <w:pPr>
      <w:autoSpaceDE w:val="0"/>
      <w:autoSpaceDN w:val="0"/>
      <w:adjustRightInd w:val="0"/>
      <w:ind w:left="850"/>
    </w:pPr>
    <w:rPr>
      <w:rFonts w:ascii="TimesLT" w:hAnsi="TimesLT" w:eastAsia="Times New Roman" w:cs="Times New Roman"/>
      <w:b/>
      <w:bCs/>
      <w:caps/>
      <w:sz w:val="22"/>
      <w:szCs w:val="22"/>
      <w:lang w:val="en-US" w:eastAsia="en-US" w:bidi="ar-SA"/>
    </w:rPr>
  </w:style>
  <w:style w:type="paragraph" w:customStyle="1" w:styleId="14">
    <w:name w:val="pavadinimas1"/>
    <w:basedOn w:val="1"/>
    <w:qFormat/>
    <w:uiPriority w:val="0"/>
    <w:pPr>
      <w:spacing w:before="100" w:beforeAutospacing="1" w:after="100" w:afterAutospacing="1"/>
    </w:pPr>
    <w:rPr>
      <w:lang w:val="en-US"/>
    </w:rPr>
  </w:style>
  <w:style w:type="paragraph" w:customStyle="1" w:styleId="15">
    <w:name w:val="istatymas"/>
    <w:basedOn w:val="1"/>
    <w:qFormat/>
    <w:uiPriority w:val="0"/>
    <w:pPr>
      <w:spacing w:before="100" w:beforeAutospacing="1" w:after="100" w:afterAutospacing="1"/>
    </w:pPr>
    <w:rPr>
      <w:lang w:val="en-US"/>
    </w:rPr>
  </w:style>
  <w:style w:type="paragraph" w:customStyle="1" w:styleId="16">
    <w:name w:val="Pagrindinis tekstas1"/>
    <w:uiPriority w:val="0"/>
    <w:pPr>
      <w:autoSpaceDE w:val="0"/>
      <w:autoSpaceDN w:val="0"/>
      <w:adjustRightInd w:val="0"/>
      <w:ind w:firstLine="312"/>
      <w:jc w:val="both"/>
    </w:pPr>
    <w:rPr>
      <w:rFonts w:ascii="TimesLT" w:hAnsi="TimesLT" w:eastAsia="Times New Roman" w:cs="Times New Roman"/>
      <w:lang w:val="en-US" w:eastAsia="en-US" w:bidi="ar-SA"/>
    </w:rPr>
  </w:style>
  <w:style w:type="paragraph" w:customStyle="1" w:styleId="17">
    <w:name w:val="Pagrindinis tekstas 31"/>
    <w:basedOn w:val="1"/>
    <w:uiPriority w:val="0"/>
    <w:pPr>
      <w:suppressAutoHyphens/>
      <w:spacing w:line="360" w:lineRule="auto"/>
      <w:jc w:val="both"/>
    </w:pPr>
    <w:rPr>
      <w:lang w:eastAsia="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B4DE95-0A84-446F-884D-04BA5B72B5A5}">
  <ds:schemaRefs/>
</ds:datastoreItem>
</file>

<file path=docProps/app.xml><?xml version="1.0" encoding="utf-8"?>
<Properties xmlns="http://schemas.openxmlformats.org/officeDocument/2006/extended-properties" xmlns:vt="http://schemas.openxmlformats.org/officeDocument/2006/docPropsVTypes">
  <Template>Normal.dotm</Template>
  <Company>Muzieju Direkcija</Company>
  <Pages>4</Pages>
  <Words>924</Words>
  <Characters>6701</Characters>
  <Lines>23</Lines>
  <Paragraphs>15</Paragraphs>
  <TotalTime>40</TotalTime>
  <ScaleCrop>false</ScaleCrop>
  <LinksUpToDate>false</LinksUpToDate>
  <CharactersWithSpaces>7613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2026-09-14T07:49:00Z</dcterms:created>
  <dc:creator>Birute Vagriene</dc:creator>
  <cp:lastModifiedBy>Vartotojas</cp:lastModifiedBy>
  <dcterms:modified xsi:type="dcterms:W3CDTF">2026-09-14T13:06:06Z</dcterms:modified>
  <dc:title>KLAIPĖDOS „ŽALIAKALNIO“ VIDURINĖ MOKYKLA</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eyJoZGlkIjoiY2QzOTFiMzhmODAzNzVkYjdiNDRmYzAzZjAxZTBhMzMifQ==</vt:lpwstr>
  </property>
  <property fmtid="{D5CDD505-2E9C-101B-9397-08002B2CF9AE}" pid="3" name="KSOProductBuildVer">
    <vt:lpwstr>1033-12.1.0.28485</vt:lpwstr>
  </property>
  <property fmtid="{D5CDD505-2E9C-101B-9397-08002B2CF9AE}" pid="4" name="ICV">
    <vt:lpwstr>AEA0F045ED524BE99485072ED759411A_12</vt:lpwstr>
  </property>
</Properties>
</file>